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E1B3" w14:textId="77777777" w:rsidR="00841369" w:rsidRDefault="00A1733D">
      <w:pPr>
        <w:spacing w:after="0" w:line="240" w:lineRule="auto"/>
        <w:jc w:val="right"/>
        <w:rPr>
          <w:rFonts w:ascii="Avenir Next LT Pro" w:eastAsia="Times New Roman" w:hAnsi="Avenir Next LT Pro" w:cs="Times New Roman"/>
          <w:color w:val="663300"/>
        </w:rPr>
      </w:pPr>
      <w:r>
        <w:rPr>
          <w:rFonts w:ascii="Avenir Next LT Pro" w:eastAsia="Times New Roman" w:hAnsi="Avenir Next LT Pro" w:cs="Times New Roman"/>
          <w:color w:val="663300"/>
        </w:rPr>
        <w:t>MAJ : 02/12/2025</w:t>
      </w:r>
    </w:p>
    <w:p w14:paraId="60CF429A" w14:textId="77777777" w:rsidR="00841369" w:rsidRDefault="00841369">
      <w:pPr>
        <w:keepNext/>
        <w:widowControl w:val="0"/>
        <w:spacing w:after="0" w:line="240" w:lineRule="auto"/>
        <w:jc w:val="center"/>
        <w:outlineLvl w:val="0"/>
        <w:rPr>
          <w:rFonts w:ascii="Gellix Medium" w:eastAsia="Times New Roman" w:hAnsi="Gellix Medium" w:cs="Times New Roman"/>
          <w:b/>
          <w:color w:val="B52D51"/>
          <w:sz w:val="28"/>
          <w:u w:val="single"/>
        </w:rPr>
      </w:pPr>
    </w:p>
    <w:p w14:paraId="0A3AFF17" w14:textId="77777777" w:rsidR="00841369" w:rsidRDefault="00A1733D">
      <w:pPr>
        <w:keepNext/>
        <w:widowControl w:val="0"/>
        <w:spacing w:after="0" w:line="240" w:lineRule="auto"/>
        <w:jc w:val="center"/>
        <w:outlineLvl w:val="0"/>
        <w:rPr>
          <w:rFonts w:ascii="Gellix Medium" w:eastAsia="Times New Roman" w:hAnsi="Gellix Medium" w:cs="Times New Roman"/>
          <w:b/>
          <w:color w:val="B52D51"/>
          <w:sz w:val="28"/>
          <w:u w:val="single"/>
        </w:rPr>
      </w:pPr>
      <w:r>
        <w:rPr>
          <w:rFonts w:ascii="Gellix Medium" w:eastAsia="Times New Roman" w:hAnsi="Gellix Medium" w:cs="Times New Roman"/>
          <w:b/>
          <w:color w:val="B52D51"/>
          <w:sz w:val="28"/>
          <w:u w:val="single"/>
        </w:rPr>
        <w:t>MODELE DE DELIBERATION FIXANT LES MODALITES DE FONCTIONNEMENT DU CET</w:t>
      </w:r>
    </w:p>
    <w:p w14:paraId="1458D379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2EB592B0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06C93997" w14:textId="77777777" w:rsidR="00841369" w:rsidRDefault="00A173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venir Next LT Pro" w:eastAsia="Times New Roman" w:hAnsi="Avenir Next LT Pro" w:cs="Times New Roman"/>
          <w:color w:val="B52D51"/>
        </w:rPr>
      </w:pPr>
      <w:r>
        <w:rPr>
          <w:rFonts w:ascii="Avenir Next LT Pro" w:eastAsia="Times New Roman" w:hAnsi="Avenir Next LT Pro" w:cs="Times New Roman"/>
          <w:color w:val="B52D51"/>
        </w:rPr>
        <w:t>Avertissement : ce projet constitue une trame générale.</w:t>
      </w:r>
    </w:p>
    <w:p w14:paraId="70B30C8D" w14:textId="77777777" w:rsidR="00841369" w:rsidRDefault="00A173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venir Next LT Pro" w:eastAsia="Times New Roman" w:hAnsi="Avenir Next LT Pro" w:cs="Times New Roman"/>
          <w:color w:val="B52D51"/>
        </w:rPr>
      </w:pPr>
      <w:r>
        <w:rPr>
          <w:rFonts w:ascii="Avenir Next LT Pro" w:eastAsia="Times New Roman" w:hAnsi="Avenir Next LT Pro" w:cs="Times New Roman"/>
          <w:color w:val="B52D51"/>
        </w:rPr>
        <w:t>Les services du Centre de Gestion sont à la disposition des collectivités pour adapter le projet selon les nécessités de chaque collectivité.</w:t>
      </w:r>
    </w:p>
    <w:p w14:paraId="1FF56DFE" w14:textId="77777777" w:rsidR="00841369" w:rsidRDefault="00A173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venir Next LT Pro" w:eastAsia="Times New Roman" w:hAnsi="Avenir Next LT Pro" w:cs="Times New Roman"/>
          <w:color w:val="B52D51"/>
        </w:rPr>
      </w:pPr>
      <w:r>
        <w:rPr>
          <w:rFonts w:ascii="Avenir Next LT Pro" w:eastAsia="Times New Roman" w:hAnsi="Avenir Next LT Pro" w:cs="Times New Roman"/>
          <w:color w:val="B52D51"/>
        </w:rPr>
        <w:t>Ce projet de délibération peut être utilisé (à l’état de projet) pour saisir le Comité Social Territorial.</w:t>
      </w:r>
    </w:p>
    <w:p w14:paraId="25896AFD" w14:textId="77777777" w:rsidR="00841369" w:rsidRDefault="00A173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ascii="Avenir Next LT Pro" w:eastAsia="Times New Roman" w:hAnsi="Avenir Next LT Pro" w:cs="Times New Roman"/>
          <w:color w:val="B52D51"/>
        </w:rPr>
      </w:pPr>
      <w:r>
        <w:rPr>
          <w:rFonts w:ascii="Avenir Next LT Pro" w:eastAsia="Times New Roman" w:hAnsi="Avenir Next LT Pro" w:cs="Times New Roman"/>
          <w:color w:val="B52D51"/>
        </w:rPr>
        <w:t>Après avis du Comité Social Territorial, l’organe délibérant se prononce.</w:t>
      </w:r>
    </w:p>
    <w:p w14:paraId="23DA2ADA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03AAB6DB" w14:textId="77777777" w:rsidR="00841369" w:rsidRDefault="00A1733D">
      <w:pPr>
        <w:spacing w:after="0" w:line="240" w:lineRule="auto"/>
        <w:jc w:val="center"/>
        <w:rPr>
          <w:rFonts w:ascii="Avenir Next LT Pro" w:eastAsia="Times New Roman" w:hAnsi="Avenir Next LT Pro" w:cs="Times New Roman"/>
          <w:b/>
          <w:color w:val="203242"/>
          <w:sz w:val="24"/>
        </w:rPr>
      </w:pPr>
      <w:r>
        <w:rPr>
          <w:rFonts w:ascii="Avenir Next LT Pro" w:eastAsia="Times New Roman" w:hAnsi="Avenir Next LT Pro" w:cs="Times New Roman"/>
          <w:b/>
          <w:color w:val="203242"/>
          <w:sz w:val="24"/>
        </w:rPr>
        <w:t>Projet de délibération</w:t>
      </w:r>
    </w:p>
    <w:p w14:paraId="473591E0" w14:textId="77777777" w:rsidR="00841369" w:rsidRDefault="00A1733D">
      <w:pPr>
        <w:spacing w:after="0" w:line="240" w:lineRule="auto"/>
        <w:jc w:val="center"/>
        <w:rPr>
          <w:rFonts w:ascii="Avenir Next LT Pro" w:eastAsia="Times New Roman" w:hAnsi="Avenir Next LT Pro" w:cs="Times New Roman"/>
          <w:b/>
          <w:color w:val="203242"/>
          <w:sz w:val="24"/>
        </w:rPr>
      </w:pPr>
      <w:r>
        <w:rPr>
          <w:rFonts w:ascii="Avenir Next LT Pro" w:eastAsia="Times New Roman" w:hAnsi="Avenir Next LT Pro" w:cs="Times New Roman"/>
          <w:b/>
          <w:color w:val="203242"/>
          <w:sz w:val="24"/>
        </w:rPr>
        <w:t>FIXANT LES RÈGLES D’OUVERTURE, DE FONCTIONNEMENT, DE GESTION, D’UTILISATION ET DE CLÔTURE DU COMPTE ÉPARGNE-TEMPS (CET)</w:t>
      </w:r>
    </w:p>
    <w:p w14:paraId="6D2A1F8E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04097AFB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 xml:space="preserve">VU le Code Général de la Fonction Publique ; </w:t>
      </w:r>
    </w:p>
    <w:p w14:paraId="7ABFB457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VU le décret n° 2004-878 du 26 août 2004 relatif au compte épargne temps dans la fonction publique territoriale ;</w:t>
      </w:r>
    </w:p>
    <w:p w14:paraId="2776608C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VU l’arrêté du 9 janvier 2024 pris pour l'application de l'article 7-1 du décret n° 2004-878 du 26 août 2004 relatif au compte épargne-temps dans la fonction publique territoriale.</w:t>
      </w:r>
    </w:p>
    <w:p w14:paraId="0362A6EA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7AAA207E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ab/>
      </w:r>
    </w:p>
    <w:p w14:paraId="6BAD7888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…………</w:t>
      </w:r>
      <w:proofErr w:type="gramStart"/>
      <w:r>
        <w:rPr>
          <w:rFonts w:ascii="Avenir Next LT Pro" w:eastAsia="Times New Roman" w:hAnsi="Avenir Next LT Pro" w:cs="Times New Roman"/>
          <w:color w:val="203242"/>
        </w:rPr>
        <w:t>…….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>.</w:t>
      </w:r>
      <w:r>
        <w:rPr>
          <w:rFonts w:ascii="Avenir Next LT Pro" w:eastAsia="Times New Roman" w:hAnsi="Avenir Next LT Pro" w:cs="Times New Roman"/>
        </w:rPr>
        <w:t xml:space="preserve"> (</w:t>
      </w:r>
      <w:r>
        <w:rPr>
          <w:rFonts w:ascii="Avenir Next LT Pro" w:eastAsia="Times New Roman" w:hAnsi="Avenir Next LT Pro" w:cs="Times New Roman"/>
          <w:i/>
          <w:color w:val="4F81BD"/>
        </w:rPr>
        <w:t>Maire ou Président</w:t>
      </w:r>
      <w:r>
        <w:rPr>
          <w:rFonts w:ascii="Avenir Next LT Pro" w:eastAsia="Times New Roman" w:hAnsi="Avenir Next LT Pro" w:cs="Times New Roman"/>
          <w:color w:val="203242"/>
        </w:rPr>
        <w:t xml:space="preserve">) rappelle que les personnels territoriaux peuvent demander, sous certaines conditions, à bénéficier du report de certains jours de congés dans un compte épargne-temps. </w:t>
      </w:r>
    </w:p>
    <w:p w14:paraId="78F5F5DC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ab/>
      </w:r>
    </w:p>
    <w:p w14:paraId="0EE5EDE3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La réglementation fixe un cadre général mais il appartient à l’assemblée délibérante de se prononcer sur le détail des modalités d'ouverture, de fonctionnement, de gestion, de fermeture du compte épargne-temps (CET), ainsi que les modalités de son utilisation par l'agent conformément à l'article L.621-5 du Code Général de la Fonction Publique et à l’article 10 du décret n°2004-878 du 26 août 2004.</w:t>
      </w:r>
    </w:p>
    <w:p w14:paraId="25E3E5C6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32F29B45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………………. (</w:t>
      </w:r>
      <w:r>
        <w:rPr>
          <w:rFonts w:ascii="Avenir Next LT Pro" w:eastAsia="Times New Roman" w:hAnsi="Avenir Next LT Pro" w:cs="Times New Roman"/>
          <w:i/>
          <w:color w:val="4F81BD"/>
        </w:rPr>
        <w:t>Maire ou Président</w:t>
      </w:r>
      <w:r>
        <w:rPr>
          <w:rFonts w:ascii="Avenir Next LT Pro" w:eastAsia="Times New Roman" w:hAnsi="Avenir Next LT Pro" w:cs="Times New Roman"/>
          <w:color w:val="203242"/>
        </w:rPr>
        <w:t xml:space="preserve">) demande à l’assemblée délibérante de fixer les modalités d’application du compte épargne-temps dans la collectivité. </w:t>
      </w:r>
    </w:p>
    <w:p w14:paraId="203B84B4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265EB0AE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i/>
          <w:color w:val="4F81BD"/>
          <w:u w:val="single"/>
        </w:rPr>
      </w:pPr>
      <w:r>
        <w:rPr>
          <w:rFonts w:ascii="Avenir Next LT Pro" w:eastAsia="Times New Roman" w:hAnsi="Avenir Next LT Pro" w:cs="Times New Roman"/>
          <w:i/>
          <w:color w:val="4F81BD"/>
          <w:u w:val="single"/>
        </w:rPr>
        <w:t>Ou le cas échéant pour les collectivités ayant déjà instauré un CET, avant le 1er janvier 2010 :</w:t>
      </w:r>
    </w:p>
    <w:p w14:paraId="19ACBB09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1290081D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…………</w:t>
      </w:r>
      <w:proofErr w:type="gramStart"/>
      <w:r>
        <w:rPr>
          <w:rFonts w:ascii="Avenir Next LT Pro" w:eastAsia="Times New Roman" w:hAnsi="Avenir Next LT Pro" w:cs="Times New Roman"/>
          <w:color w:val="203242"/>
        </w:rPr>
        <w:t>…….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 xml:space="preserve">. </w:t>
      </w:r>
      <w:r>
        <w:rPr>
          <w:rFonts w:ascii="Avenir Next LT Pro" w:eastAsia="Times New Roman" w:hAnsi="Avenir Next LT Pro" w:cs="Times New Roman"/>
        </w:rPr>
        <w:t>(</w:t>
      </w:r>
      <w:r>
        <w:rPr>
          <w:rFonts w:ascii="Avenir Next LT Pro" w:eastAsia="Times New Roman" w:hAnsi="Avenir Next LT Pro" w:cs="Times New Roman"/>
          <w:i/>
          <w:color w:val="4F81BD"/>
        </w:rPr>
        <w:t>Maire ou Président</w:t>
      </w:r>
      <w:r>
        <w:rPr>
          <w:rFonts w:ascii="Avenir Next LT Pro" w:eastAsia="Times New Roman" w:hAnsi="Avenir Next LT Pro" w:cs="Times New Roman"/>
        </w:rPr>
        <w:t xml:space="preserve">) </w:t>
      </w:r>
      <w:r>
        <w:rPr>
          <w:rFonts w:ascii="Avenir Next LT Pro" w:eastAsia="Times New Roman" w:hAnsi="Avenir Next LT Pro" w:cs="Times New Roman"/>
          <w:color w:val="203242"/>
        </w:rPr>
        <w:t xml:space="preserve">demande à l’assemblée délibérante de modifier les modalités d’application du compte épargne- temps dans la collectivité à la suite de la modification de la réglementation. </w:t>
      </w:r>
    </w:p>
    <w:p w14:paraId="3A93EAB8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57A078CC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42470FCA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>LES BÉNÉFICIAIRES DU CET</w:t>
      </w:r>
    </w:p>
    <w:p w14:paraId="3B357E84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0E436865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4F81BD"/>
        </w:rPr>
        <w:t xml:space="preserve">Il/Elle </w:t>
      </w:r>
      <w:r>
        <w:rPr>
          <w:rFonts w:ascii="Avenir Next LT Pro" w:eastAsia="Times New Roman" w:hAnsi="Avenir Next LT Pro" w:cs="Times New Roman"/>
          <w:color w:val="203242"/>
        </w:rPr>
        <w:t>rappelle que les fonctionnaires titulaires et agents contractuels à temps complet ou à temps non complet qui sont employés de manière continue et qui ont accompli au moins une année de service pourront bénéficier d'un CET.</w:t>
      </w:r>
    </w:p>
    <w:p w14:paraId="4B08A762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260A3963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 xml:space="preserve">Les stagiaires et les agents contractuels de droit privé ne peuvent bénéficier du C.E.T. Il en est de même pour les professeurs et assistants d’enseignement artistique. </w:t>
      </w:r>
    </w:p>
    <w:p w14:paraId="71485C2F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00057362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6C283743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5DDCFC2D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  <w:bookmarkStart w:id="0" w:name="_Toc263429093"/>
      <w:bookmarkStart w:id="1" w:name="_Toc263665136"/>
      <w:r>
        <w:rPr>
          <w:rFonts w:ascii="Avenir Next LT Pro" w:eastAsia="Times New Roman" w:hAnsi="Avenir Next LT Pro" w:cs="Times New Roman"/>
          <w:b/>
          <w:color w:val="203242"/>
        </w:rPr>
        <w:lastRenderedPageBreak/>
        <w:t>L'OUVERTURE DU CET</w:t>
      </w:r>
    </w:p>
    <w:p w14:paraId="01C33546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38DF79A0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L'ouverture du CET est de droit pour les agents et elle peut être demandée à tout moment de l'année.</w:t>
      </w:r>
    </w:p>
    <w:p w14:paraId="7049B5A2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56C9F5C5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</w:rPr>
        <w:t>(</w:t>
      </w:r>
      <w:r>
        <w:rPr>
          <w:rFonts w:ascii="Avenir Next LT Pro" w:eastAsia="Times New Roman" w:hAnsi="Avenir Next LT Pro" w:cs="Times New Roman"/>
          <w:i/>
          <w:color w:val="4F81BD"/>
        </w:rPr>
        <w:t>Le cas échéant</w:t>
      </w:r>
      <w:r>
        <w:rPr>
          <w:rFonts w:ascii="Avenir Next LT Pro" w:eastAsia="Times New Roman" w:hAnsi="Avenir Next LT Pro" w:cs="Times New Roman"/>
          <w:color w:val="203242"/>
        </w:rPr>
        <w:t>) Cette demande se fera par remise du formulaire de demande d'ouverture annexé à la présente délibération, au …………</w:t>
      </w:r>
      <w:proofErr w:type="gramStart"/>
      <w:r>
        <w:rPr>
          <w:rFonts w:ascii="Avenir Next LT Pro" w:eastAsia="Times New Roman" w:hAnsi="Avenir Next LT Pro" w:cs="Times New Roman"/>
          <w:color w:val="203242"/>
        </w:rPr>
        <w:t>…….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 xml:space="preserve">. </w:t>
      </w:r>
      <w:r>
        <w:rPr>
          <w:rFonts w:ascii="Avenir Next LT Pro" w:eastAsia="Times New Roman" w:hAnsi="Avenir Next LT Pro" w:cs="Times New Roman"/>
        </w:rPr>
        <w:t>(</w:t>
      </w:r>
      <w:r>
        <w:rPr>
          <w:rFonts w:ascii="Avenir Next LT Pro" w:eastAsia="Times New Roman" w:hAnsi="Avenir Next LT Pro" w:cs="Times New Roman"/>
          <w:i/>
          <w:color w:val="4F81BD"/>
        </w:rPr>
        <w:t>Maire ou Président</w:t>
      </w:r>
      <w:r>
        <w:rPr>
          <w:rFonts w:ascii="Avenir Next LT Pro" w:eastAsia="Times New Roman" w:hAnsi="Avenir Next LT Pro" w:cs="Times New Roman"/>
          <w:color w:val="203242"/>
        </w:rPr>
        <w:t>).</w:t>
      </w:r>
    </w:p>
    <w:p w14:paraId="1CE67264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4FBF286A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</w:rPr>
        <w:t>(</w:t>
      </w:r>
      <w:r>
        <w:rPr>
          <w:rFonts w:ascii="Avenir Next LT Pro" w:eastAsia="Times New Roman" w:hAnsi="Avenir Next LT Pro" w:cs="Times New Roman"/>
          <w:i/>
          <w:color w:val="4F81BD"/>
        </w:rPr>
        <w:t>Le cas échéant</w:t>
      </w:r>
      <w:r>
        <w:rPr>
          <w:rFonts w:ascii="Avenir Next LT Pro" w:eastAsia="Times New Roman" w:hAnsi="Avenir Next LT Pro" w:cs="Times New Roman"/>
        </w:rPr>
        <w:t xml:space="preserve">) </w:t>
      </w:r>
      <w:r>
        <w:rPr>
          <w:rFonts w:ascii="Avenir Next LT Pro" w:eastAsia="Times New Roman" w:hAnsi="Avenir Next LT Pro" w:cs="Times New Roman"/>
          <w:color w:val="203242"/>
        </w:rPr>
        <w:t>Le…………</w:t>
      </w:r>
      <w:proofErr w:type="gramStart"/>
      <w:r>
        <w:rPr>
          <w:rFonts w:ascii="Avenir Next LT Pro" w:eastAsia="Times New Roman" w:hAnsi="Avenir Next LT Pro" w:cs="Times New Roman"/>
          <w:color w:val="203242"/>
        </w:rPr>
        <w:t>…….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 xml:space="preserve">. </w:t>
      </w:r>
      <w:r>
        <w:rPr>
          <w:rFonts w:ascii="Avenir Next LT Pro" w:eastAsia="Times New Roman" w:hAnsi="Avenir Next LT Pro" w:cs="Times New Roman"/>
        </w:rPr>
        <w:t>(</w:t>
      </w:r>
      <w:r>
        <w:rPr>
          <w:rFonts w:ascii="Avenir Next LT Pro" w:eastAsia="Times New Roman" w:hAnsi="Avenir Next LT Pro" w:cs="Times New Roman"/>
          <w:color w:val="4F81BD"/>
        </w:rPr>
        <w:t>Maire ou Président</w:t>
      </w:r>
      <w:r>
        <w:rPr>
          <w:rFonts w:ascii="Avenir Next LT Pro" w:eastAsia="Times New Roman" w:hAnsi="Avenir Next LT Pro" w:cs="Times New Roman"/>
        </w:rPr>
        <w:t>)</w:t>
      </w:r>
      <w:r>
        <w:rPr>
          <w:rFonts w:ascii="Avenir Next LT Pro" w:eastAsia="Times New Roman" w:hAnsi="Avenir Next LT Pro" w:cs="Times New Roman"/>
          <w:color w:val="203242"/>
        </w:rPr>
        <w:t xml:space="preserve"> accuse réception de la demande d'ouverture du CET dans un délai de …</w:t>
      </w:r>
      <w:proofErr w:type="gramStart"/>
      <w:r>
        <w:rPr>
          <w:rFonts w:ascii="Avenir Next LT Pro" w:eastAsia="Times New Roman" w:hAnsi="Avenir Next LT Pro" w:cs="Times New Roman"/>
          <w:color w:val="203242"/>
        </w:rPr>
        <w:t>…….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>jours suivants le dépôt de la demande, notamment en cas de refus motivé d'ouvrir le CET.</w:t>
      </w:r>
    </w:p>
    <w:p w14:paraId="737E4C49" w14:textId="77777777" w:rsidR="00841369" w:rsidRDefault="00841369">
      <w:pPr>
        <w:spacing w:after="0" w:line="240" w:lineRule="auto"/>
        <w:ind w:firstLine="709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4F418E4B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>L’ALIMENTATION DU CET</w:t>
      </w:r>
      <w:bookmarkEnd w:id="0"/>
      <w:bookmarkEnd w:id="1"/>
    </w:p>
    <w:p w14:paraId="20FCC42A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1BFE4ED6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CET est alimenté par :</w:t>
      </w:r>
    </w:p>
    <w:p w14:paraId="0623177A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0B484B7C" w14:textId="77777777" w:rsidR="00841369" w:rsidRDefault="00A1733D">
      <w:pPr>
        <w:numPr>
          <w:ilvl w:val="1"/>
          <w:numId w:val="7"/>
        </w:numPr>
        <w:spacing w:after="0" w:line="240" w:lineRule="auto"/>
        <w:ind w:left="1276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report de congés annuels, sans que le nombre de jours de congés annuels pris dans l'année puisse être inférieur à 20 (proratisés pour les agents à temps partiel et à temps non complet), ainsi que les jours de fractionnement,</w:t>
      </w:r>
    </w:p>
    <w:p w14:paraId="6F84954F" w14:textId="77777777" w:rsidR="00841369" w:rsidRDefault="00A1733D">
      <w:pPr>
        <w:numPr>
          <w:ilvl w:val="1"/>
          <w:numId w:val="7"/>
        </w:numPr>
        <w:spacing w:after="0" w:line="240" w:lineRule="auto"/>
        <w:ind w:left="1276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report de jours de récupération au titre de l’ARTT,</w:t>
      </w:r>
    </w:p>
    <w:p w14:paraId="4C60D98E" w14:textId="77777777" w:rsidR="00841369" w:rsidRDefault="00A1733D">
      <w:pPr>
        <w:numPr>
          <w:ilvl w:val="1"/>
          <w:numId w:val="7"/>
        </w:numPr>
        <w:spacing w:after="0" w:line="240" w:lineRule="auto"/>
        <w:ind w:left="1276"/>
        <w:jc w:val="both"/>
        <w:rPr>
          <w:rFonts w:ascii="Avenir Next LT Pro" w:eastAsia="Times New Roman" w:hAnsi="Avenir Next LT Pro" w:cs="Times New Roman"/>
        </w:rPr>
      </w:pPr>
      <w:r>
        <w:rPr>
          <w:rFonts w:ascii="Avenir Next LT Pro" w:eastAsia="Times New Roman" w:hAnsi="Avenir Next LT Pro" w:cs="Times New Roman"/>
          <w:i/>
          <w:iCs/>
          <w:color w:val="4F81BD"/>
        </w:rPr>
        <w:t>(Le cas échéant à déterminer)</w:t>
      </w:r>
      <w:r>
        <w:rPr>
          <w:rFonts w:ascii="Avenir Next LT Pro" w:eastAsia="Times New Roman" w:hAnsi="Avenir Next LT Pro" w:cs="Times New Roman"/>
          <w:color w:val="203242"/>
        </w:rPr>
        <w:t xml:space="preserve"> Les jours de repos compensateurs (récupération des heures supplémentaires notamment).</w:t>
      </w:r>
    </w:p>
    <w:p w14:paraId="3A86FF1E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67F5F644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CET peut être alime</w:t>
      </w:r>
      <w:bookmarkStart w:id="2" w:name="_Toc263665140"/>
      <w:r>
        <w:rPr>
          <w:rFonts w:ascii="Avenir Next LT Pro" w:eastAsia="Times New Roman" w:hAnsi="Avenir Next LT Pro" w:cs="Times New Roman"/>
          <w:color w:val="203242"/>
        </w:rPr>
        <w:t xml:space="preserve">nté dans la limite de 60 jours </w:t>
      </w:r>
      <w:r>
        <w:rPr>
          <w:rFonts w:ascii="Avenir Next LT Pro" w:eastAsia="Times New Roman" w:hAnsi="Avenir Next LT Pro" w:cs="Times New Roman"/>
          <w:i/>
          <w:iCs/>
          <w:color w:val="4F81BD"/>
        </w:rPr>
        <w:t>(ou 70 jours en 2024).</w:t>
      </w:r>
    </w:p>
    <w:p w14:paraId="61F57CC5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21C08B41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 xml:space="preserve">LA </w:t>
      </w:r>
      <w:bookmarkEnd w:id="2"/>
      <w:r>
        <w:rPr>
          <w:rFonts w:ascii="Avenir Next LT Pro" w:eastAsia="Times New Roman" w:hAnsi="Avenir Next LT Pro" w:cs="Times New Roman"/>
          <w:b/>
          <w:color w:val="203242"/>
        </w:rPr>
        <w:t>PROCÉDURE D’ALIMENTATION DU CET</w:t>
      </w:r>
    </w:p>
    <w:p w14:paraId="72AAEF7D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22B27510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  <w:r>
        <w:rPr>
          <w:rFonts w:ascii="Avenir Next LT Pro" w:eastAsia="Times New Roman" w:hAnsi="Avenir Next LT Pro" w:cs="Times New Roman"/>
          <w:i/>
          <w:color w:val="4F81BD"/>
        </w:rPr>
        <w:t>(Le cas échéant)</w:t>
      </w:r>
      <w:r>
        <w:rPr>
          <w:rFonts w:ascii="Avenir Next LT Pro" w:eastAsia="Times New Roman" w:hAnsi="Avenir Next LT Pro" w:cs="Times New Roman"/>
          <w:color w:val="203242"/>
        </w:rPr>
        <w:t xml:space="preserve"> La demande d’alimentation du CET par l’agent pourra se faire par le biais du formulaire de demande d'alimentation annexé à la présente délibération.</w:t>
      </w:r>
    </w:p>
    <w:p w14:paraId="3341BAF5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7BAE222A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Elle devra être transmise auprès du service gestionnaire du CET avant le ……………………….</w:t>
      </w:r>
    </w:p>
    <w:p w14:paraId="6261AB4E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57F5A787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Cette demande ne sera effectuée qu’une fois par an. Elle doit indiquer la nature et le nombre de jours que l’agent souhaite verser sur son compte.</w:t>
      </w:r>
    </w:p>
    <w:p w14:paraId="0628B7DE" w14:textId="77777777" w:rsidR="00841369" w:rsidRDefault="00A1733D">
      <w:pPr>
        <w:tabs>
          <w:tab w:val="left" w:pos="1680"/>
        </w:tabs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ab/>
      </w:r>
    </w:p>
    <w:p w14:paraId="6322809C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  <w:bookmarkStart w:id="3" w:name="_Toc263429097"/>
      <w:bookmarkStart w:id="4" w:name="_Toc263665141"/>
      <w:r>
        <w:rPr>
          <w:rFonts w:ascii="Avenir Next LT Pro" w:eastAsia="Times New Roman" w:hAnsi="Avenir Next LT Pro" w:cs="Times New Roman"/>
          <w:b/>
          <w:color w:val="203242"/>
        </w:rPr>
        <w:t>L’UTILISATION DU CET</w:t>
      </w:r>
      <w:bookmarkEnd w:id="3"/>
      <w:bookmarkEnd w:id="4"/>
    </w:p>
    <w:p w14:paraId="3DACCD05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29420552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CET peut être utilisé sans limitation de durée.</w:t>
      </w:r>
    </w:p>
    <w:p w14:paraId="64D2DFB9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08DD9A3F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service gestionnaire du CET informera l’agent chaque année de la situation de son CET avant le ……………………… (</w:t>
      </w:r>
      <w:r>
        <w:rPr>
          <w:rFonts w:ascii="Avenir Next LT Pro" w:eastAsia="Times New Roman" w:hAnsi="Avenir Next LT Pro" w:cs="Times New Roman"/>
          <w:color w:val="4F81BD"/>
        </w:rPr>
        <w:t>date à déterminer</w:t>
      </w:r>
      <w:r>
        <w:rPr>
          <w:rFonts w:ascii="Avenir Next LT Pro" w:eastAsia="Times New Roman" w:hAnsi="Avenir Next LT Pro" w:cs="Times New Roman"/>
        </w:rPr>
        <w:t>)</w:t>
      </w:r>
      <w:r>
        <w:rPr>
          <w:rFonts w:ascii="Avenir Next LT Pro" w:eastAsia="Times New Roman" w:hAnsi="Avenir Next LT Pro" w:cs="Times New Roman"/>
          <w:color w:val="203242"/>
        </w:rPr>
        <w:t xml:space="preserve">, </w:t>
      </w:r>
      <w:r>
        <w:rPr>
          <w:rFonts w:ascii="Avenir Next LT Pro" w:eastAsia="Times New Roman" w:hAnsi="Avenir Next LT Pro" w:cs="Times New Roman"/>
        </w:rPr>
        <w:t>(</w:t>
      </w:r>
      <w:r>
        <w:rPr>
          <w:rFonts w:ascii="Avenir Next LT Pro" w:eastAsia="Times New Roman" w:hAnsi="Avenir Next LT Pro" w:cs="Times New Roman"/>
          <w:i/>
          <w:color w:val="4F81BD"/>
        </w:rPr>
        <w:t>le cas échéant</w:t>
      </w:r>
      <w:r>
        <w:rPr>
          <w:rFonts w:ascii="Avenir Next LT Pro" w:eastAsia="Times New Roman" w:hAnsi="Avenir Next LT Pro" w:cs="Times New Roman"/>
          <w:color w:val="203242"/>
        </w:rPr>
        <w:t>) en utilisant le formulaire annexé à la présente délibération.</w:t>
      </w:r>
    </w:p>
    <w:p w14:paraId="387314CA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31F1622D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14501531" w14:textId="77777777" w:rsidR="00841369" w:rsidRDefault="00A1733D">
      <w:pPr>
        <w:numPr>
          <w:ilvl w:val="0"/>
          <w:numId w:val="4"/>
        </w:numPr>
        <w:spacing w:after="0" w:line="240" w:lineRule="auto"/>
        <w:jc w:val="both"/>
        <w:rPr>
          <w:rFonts w:ascii="Avenir Next LT Pro" w:eastAsia="Times New Roman" w:hAnsi="Avenir Next LT Pro" w:cs="Times New Roman"/>
          <w:bCs/>
          <w:color w:val="548DD4"/>
          <w:u w:val="single"/>
        </w:rPr>
      </w:pPr>
      <w:r>
        <w:rPr>
          <w:rFonts w:ascii="Avenir Next LT Pro" w:eastAsia="Times New Roman" w:hAnsi="Avenir Next LT Pro" w:cs="Times New Roman"/>
          <w:bCs/>
          <w:color w:val="548DD4"/>
          <w:u w:val="single"/>
        </w:rPr>
        <w:t>Dans le cas où la collectivité n’instaure pas la monétisation du CET</w:t>
      </w:r>
      <w:r>
        <w:rPr>
          <w:rFonts w:ascii="Avenir Next LT Pro" w:eastAsia="Times New Roman" w:hAnsi="Avenir Next LT Pro" w:cs="Times New Roman"/>
          <w:bCs/>
          <w:color w:val="548DD4"/>
        </w:rPr>
        <w:t xml:space="preserve"> :</w:t>
      </w:r>
    </w:p>
    <w:p w14:paraId="5F49BF28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2B3750E0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L’agent peut utiliser tout ou partie de ses jours épargnés dans le CET, qu’il soit fonctionnaire titulaire ou contractuel, uniquement sous la forme de congés.</w:t>
      </w:r>
    </w:p>
    <w:p w14:paraId="04267812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52D90415" w14:textId="77777777" w:rsidR="00841369" w:rsidRDefault="00A1733D">
      <w:pPr>
        <w:numPr>
          <w:ilvl w:val="0"/>
          <w:numId w:val="4"/>
        </w:numPr>
        <w:spacing w:after="0" w:line="240" w:lineRule="auto"/>
        <w:jc w:val="both"/>
        <w:rPr>
          <w:rFonts w:ascii="Avenir Next LT Pro" w:eastAsia="Times New Roman" w:hAnsi="Avenir Next LT Pro" w:cs="Times New Roman"/>
          <w:bCs/>
          <w:color w:val="548DD4"/>
          <w:u w:val="single"/>
        </w:rPr>
      </w:pPr>
      <w:r>
        <w:rPr>
          <w:rFonts w:ascii="Avenir Next LT Pro" w:eastAsia="Times New Roman" w:hAnsi="Avenir Next LT Pro" w:cs="Times New Roman"/>
          <w:bCs/>
          <w:color w:val="548DD4"/>
          <w:u w:val="single"/>
        </w:rPr>
        <w:t>Dans le cas où la collectivité instaure la monétisation du CET</w:t>
      </w:r>
      <w:r>
        <w:rPr>
          <w:rFonts w:ascii="Avenir Next LT Pro" w:eastAsia="Times New Roman" w:hAnsi="Avenir Next LT Pro" w:cs="Times New Roman"/>
          <w:bCs/>
          <w:color w:val="548DD4"/>
        </w:rPr>
        <w:t xml:space="preserve"> :</w:t>
      </w:r>
    </w:p>
    <w:p w14:paraId="6A7E86A6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13007329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Les 15 premiers jours épargnés ne pourront être utilisés que sous forme de congés.</w:t>
      </w:r>
    </w:p>
    <w:p w14:paraId="134EB21B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4D1370DA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Au-delà de 15 jours épargnés, l’agent peut utiliser les jours excédentaires en combinant notamment plusieurs options dans les proportions qu’il souhaite parmi les options suivantes :</w:t>
      </w:r>
    </w:p>
    <w:p w14:paraId="7DDD3A20" w14:textId="77777777" w:rsidR="00841369" w:rsidRDefault="00A1733D">
      <w:pPr>
        <w:numPr>
          <w:ilvl w:val="0"/>
          <w:numId w:val="5"/>
        </w:num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proofErr w:type="gramStart"/>
      <w:r>
        <w:rPr>
          <w:rFonts w:ascii="Avenir Next LT Pro" w:eastAsia="Times New Roman" w:hAnsi="Avenir Next LT Pro" w:cs="Times New Roman"/>
          <w:color w:val="203242"/>
        </w:rPr>
        <w:lastRenderedPageBreak/>
        <w:t>leur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 xml:space="preserve"> prise en compte au sein du régime de retraite additionnelle de la fonction publique (RAFP) (uniquement pour les fonctionnaires titulaires affiliés à la CNRACL) ;</w:t>
      </w:r>
    </w:p>
    <w:p w14:paraId="2B0BE326" w14:textId="77777777" w:rsidR="00841369" w:rsidRDefault="00A1733D">
      <w:pPr>
        <w:numPr>
          <w:ilvl w:val="0"/>
          <w:numId w:val="5"/>
        </w:num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proofErr w:type="gramStart"/>
      <w:r>
        <w:rPr>
          <w:rFonts w:ascii="Avenir Next LT Pro" w:eastAsia="Times New Roman" w:hAnsi="Avenir Next LT Pro" w:cs="Times New Roman"/>
          <w:color w:val="203242"/>
        </w:rPr>
        <w:t>leur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 xml:space="preserve"> indemnisation ;</w:t>
      </w:r>
    </w:p>
    <w:p w14:paraId="0215F6A9" w14:textId="77777777" w:rsidR="00841369" w:rsidRDefault="00A1733D">
      <w:pPr>
        <w:numPr>
          <w:ilvl w:val="0"/>
          <w:numId w:val="5"/>
        </w:num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proofErr w:type="gramStart"/>
      <w:r>
        <w:rPr>
          <w:rFonts w:ascii="Avenir Next LT Pro" w:eastAsia="Times New Roman" w:hAnsi="Avenir Next LT Pro" w:cs="Times New Roman"/>
          <w:color w:val="203242"/>
        </w:rPr>
        <w:t>leur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 xml:space="preserve"> maintien sur le CET ;</w:t>
      </w:r>
    </w:p>
    <w:p w14:paraId="1FA45A4F" w14:textId="77777777" w:rsidR="00841369" w:rsidRDefault="00A1733D">
      <w:pPr>
        <w:numPr>
          <w:ilvl w:val="0"/>
          <w:numId w:val="5"/>
        </w:num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proofErr w:type="gramStart"/>
      <w:r>
        <w:rPr>
          <w:rFonts w:ascii="Avenir Next LT Pro" w:eastAsia="Times New Roman" w:hAnsi="Avenir Next LT Pro" w:cs="Times New Roman"/>
          <w:color w:val="203242"/>
        </w:rPr>
        <w:t>leur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 xml:space="preserve"> utilisation sous forme de congés.</w:t>
      </w:r>
    </w:p>
    <w:p w14:paraId="7F2942EB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6CF92761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En cas d'indemnisation, cette dernière se fera par le versement d'une indemnité compensatrice selon des taux fixés par arrêté ministériel et variables selon la catégorie hiérarchique à laquelle appartient l'agent.</w:t>
      </w:r>
    </w:p>
    <w:p w14:paraId="2D68B7BD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255D9F1C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montant brut journalier de l'indemnité s'établit ainsi à ce jour :</w:t>
      </w:r>
    </w:p>
    <w:p w14:paraId="13ADB9A9" w14:textId="77777777" w:rsidR="00841369" w:rsidRDefault="00A1733D">
      <w:pPr>
        <w:numPr>
          <w:ilvl w:val="0"/>
          <w:numId w:val="5"/>
        </w:numPr>
        <w:tabs>
          <w:tab w:val="left" w:leader="dot" w:pos="2835"/>
          <w:tab w:val="left" w:leader="dot" w:pos="6660"/>
        </w:tabs>
        <w:spacing w:after="0" w:line="240" w:lineRule="auto"/>
        <w:contextualSpacing/>
        <w:jc w:val="both"/>
        <w:rPr>
          <w:rFonts w:ascii="Avenir Next LT Pro" w:eastAsia="Arial Unicode MS" w:hAnsi="Avenir Next LT Pro" w:cs="Times New Roman"/>
          <w:i/>
          <w:iCs/>
          <w:color w:val="4F81BD"/>
          <w:lang w:eastAsia="fr-FR"/>
        </w:rPr>
      </w:pPr>
      <w:r>
        <w:rPr>
          <w:rFonts w:ascii="Avenir Next LT Pro" w:eastAsia="Arial Unicode MS" w:hAnsi="Avenir Next LT Pro" w:cs="Times New Roman"/>
          <w:i/>
          <w:iCs/>
          <w:color w:val="4F81BD"/>
          <w:lang w:eastAsia="fr-FR"/>
        </w:rPr>
        <w:t>Catégorie A : 150 € bruts</w:t>
      </w:r>
    </w:p>
    <w:p w14:paraId="0AB83CA0" w14:textId="77777777" w:rsidR="00841369" w:rsidRDefault="00A1733D">
      <w:pPr>
        <w:numPr>
          <w:ilvl w:val="0"/>
          <w:numId w:val="5"/>
        </w:numPr>
        <w:tabs>
          <w:tab w:val="left" w:leader="dot" w:pos="2835"/>
          <w:tab w:val="left" w:leader="dot" w:pos="6660"/>
        </w:tabs>
        <w:spacing w:after="0" w:line="240" w:lineRule="auto"/>
        <w:contextualSpacing/>
        <w:jc w:val="both"/>
        <w:rPr>
          <w:rFonts w:ascii="Avenir Next LT Pro" w:eastAsia="Arial Unicode MS" w:hAnsi="Avenir Next LT Pro" w:cs="Times New Roman"/>
          <w:i/>
          <w:iCs/>
          <w:color w:val="4F81BD"/>
          <w:lang w:eastAsia="fr-FR"/>
        </w:rPr>
      </w:pPr>
      <w:r>
        <w:rPr>
          <w:rFonts w:ascii="Avenir Next LT Pro" w:eastAsia="Arial Unicode MS" w:hAnsi="Avenir Next LT Pro" w:cs="Times New Roman"/>
          <w:i/>
          <w:iCs/>
          <w:color w:val="4F81BD"/>
          <w:lang w:eastAsia="fr-FR"/>
        </w:rPr>
        <w:t>Catégorie B : 100 € bruts</w:t>
      </w:r>
    </w:p>
    <w:p w14:paraId="58FA6A64" w14:textId="77777777" w:rsidR="00841369" w:rsidRDefault="00A1733D">
      <w:pPr>
        <w:numPr>
          <w:ilvl w:val="0"/>
          <w:numId w:val="5"/>
        </w:numPr>
        <w:tabs>
          <w:tab w:val="left" w:leader="dot" w:pos="2835"/>
          <w:tab w:val="left" w:leader="dot" w:pos="6660"/>
        </w:tabs>
        <w:spacing w:after="0" w:line="240" w:lineRule="auto"/>
        <w:contextualSpacing/>
        <w:jc w:val="both"/>
        <w:rPr>
          <w:rFonts w:ascii="Avenir Next LT Pro" w:eastAsia="Arial Unicode MS" w:hAnsi="Avenir Next LT Pro" w:cs="Times New Roman"/>
          <w:i/>
          <w:iCs/>
          <w:color w:val="4F81BD"/>
          <w:lang w:eastAsia="fr-FR"/>
        </w:rPr>
      </w:pPr>
      <w:r>
        <w:rPr>
          <w:rFonts w:ascii="Avenir Next LT Pro" w:eastAsia="Arial Unicode MS" w:hAnsi="Avenir Next LT Pro" w:cs="Times New Roman"/>
          <w:i/>
          <w:iCs/>
          <w:color w:val="4F81BD"/>
          <w:lang w:eastAsia="fr-FR"/>
        </w:rPr>
        <w:t>Catégorie C : 83 € bruts</w:t>
      </w:r>
    </w:p>
    <w:p w14:paraId="19D054DF" w14:textId="77777777" w:rsidR="00841369" w:rsidRDefault="00841369">
      <w:pPr>
        <w:tabs>
          <w:tab w:val="left" w:leader="dot" w:pos="2835"/>
          <w:tab w:val="left" w:leader="dot" w:pos="6660"/>
        </w:tabs>
        <w:spacing w:after="0" w:line="240" w:lineRule="auto"/>
        <w:ind w:left="720"/>
        <w:contextualSpacing/>
        <w:jc w:val="both"/>
        <w:rPr>
          <w:rFonts w:ascii="Avenir Next LT Pro" w:eastAsia="Arial Unicode MS" w:hAnsi="Avenir Next LT Pro" w:cs="Times New Roman"/>
          <w:i/>
          <w:iCs/>
          <w:color w:val="4F81BD"/>
          <w:lang w:eastAsia="fr-FR"/>
        </w:rPr>
      </w:pPr>
    </w:p>
    <w:p w14:paraId="6854C0FB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663300"/>
        </w:rPr>
      </w:pPr>
      <w:proofErr w:type="gramStart"/>
      <w:r>
        <w:rPr>
          <w:rFonts w:ascii="Avenir Next LT Pro" w:eastAsia="Times New Roman" w:hAnsi="Avenir Next LT Pro" w:cs="Times New Roman"/>
          <w:i/>
          <w:iCs/>
          <w:color w:val="548DD4"/>
        </w:rPr>
        <w:t>OU</w:t>
      </w:r>
      <w:proofErr w:type="gramEnd"/>
      <w:r>
        <w:rPr>
          <w:rFonts w:ascii="Avenir Next LT Pro" w:eastAsia="Times New Roman" w:hAnsi="Avenir Next LT Pro" w:cs="Times New Roman"/>
          <w:color w:val="663300"/>
        </w:rPr>
        <w:t xml:space="preserve"> </w:t>
      </w:r>
    </w:p>
    <w:p w14:paraId="167C5273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  <w:r>
        <w:rPr>
          <w:rFonts w:ascii="Avenir Next LT Pro" w:eastAsia="Times New Roman" w:hAnsi="Avenir Next LT Pro" w:cs="Times New Roman"/>
          <w:color w:val="663300"/>
        </w:rPr>
        <w:t xml:space="preserve">Le nombre de jours pouvant donner lieu à indemnisation est limité à ……. </w:t>
      </w:r>
      <w:proofErr w:type="gramStart"/>
      <w:r>
        <w:rPr>
          <w:rFonts w:ascii="Avenir Next LT Pro" w:eastAsia="Times New Roman" w:hAnsi="Avenir Next LT Pro" w:cs="Times New Roman"/>
          <w:color w:val="663300"/>
        </w:rPr>
        <w:t>jours</w:t>
      </w:r>
      <w:proofErr w:type="gramEnd"/>
      <w:r>
        <w:rPr>
          <w:rFonts w:ascii="Avenir Next LT Pro" w:eastAsia="Times New Roman" w:hAnsi="Avenir Next LT Pro" w:cs="Times New Roman"/>
          <w:color w:val="663300"/>
        </w:rPr>
        <w:t xml:space="preserve"> par an </w:t>
      </w:r>
      <w:r>
        <w:rPr>
          <w:rFonts w:ascii="Avenir Next LT Pro" w:eastAsia="Times New Roman" w:hAnsi="Avenir Next LT Pro" w:cs="Times New Roman"/>
          <w:i/>
          <w:iCs/>
          <w:color w:val="548DD4"/>
        </w:rPr>
        <w:t>(nombre à déterminer)</w:t>
      </w:r>
      <w:r>
        <w:rPr>
          <w:rFonts w:ascii="Avenir Next LT Pro" w:eastAsia="Times New Roman" w:hAnsi="Avenir Next LT Pro" w:cs="Times New Roman"/>
          <w:color w:val="663300"/>
        </w:rPr>
        <w:t>. Ce plafond s’applique à l’ensemble des agents de la collectivité/l’établissement détenant un compte épargne-temps.</w:t>
      </w:r>
    </w:p>
    <w:p w14:paraId="3A73C385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06209292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2AA3A8EE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 xml:space="preserve">L’agent doit faire part de son choix au service gestionnaire du CET avant le……………………… </w:t>
      </w:r>
      <w:r>
        <w:rPr>
          <w:rFonts w:ascii="Avenir Next LT Pro" w:eastAsia="Times New Roman" w:hAnsi="Avenir Next LT Pro" w:cs="Times New Roman"/>
          <w:i/>
          <w:iCs/>
          <w:color w:val="548DD4"/>
        </w:rPr>
        <w:t>(date à déterminer, au plus tard le 31 janvier de l’année suivante) (le cas échéant)</w:t>
      </w:r>
      <w:r>
        <w:rPr>
          <w:rFonts w:ascii="Avenir Next LT Pro" w:eastAsia="Times New Roman" w:hAnsi="Avenir Next LT Pro" w:cs="Times New Roman"/>
        </w:rPr>
        <w:t xml:space="preserve"> </w:t>
      </w:r>
      <w:r>
        <w:rPr>
          <w:rFonts w:ascii="Avenir Next LT Pro" w:eastAsia="Times New Roman" w:hAnsi="Avenir Next LT Pro" w:cs="Times New Roman"/>
          <w:color w:val="203242"/>
        </w:rPr>
        <w:t xml:space="preserve">en remettant le formulaire de demande d'option annexé à la présente délibération. </w:t>
      </w:r>
    </w:p>
    <w:p w14:paraId="63948DA6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550AF551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A défaut de droit d'option exercé au 31 janvier de l'année suivante :</w:t>
      </w:r>
    </w:p>
    <w:p w14:paraId="2072005D" w14:textId="77777777" w:rsidR="00841369" w:rsidRDefault="00A1733D">
      <w:pPr>
        <w:numPr>
          <w:ilvl w:val="0"/>
          <w:numId w:val="6"/>
        </w:num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proofErr w:type="gramStart"/>
      <w:r>
        <w:rPr>
          <w:rFonts w:ascii="Avenir Next LT Pro" w:eastAsia="Times New Roman" w:hAnsi="Avenir Next LT Pro" w:cs="Times New Roman"/>
          <w:color w:val="203242"/>
        </w:rPr>
        <w:t>pour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 xml:space="preserve"> les fonctionnaires titulaires affiliés à la CNRACL, les jours excédant 15 jours sont automatiquement pris en compte au sein du RAFP ;</w:t>
      </w:r>
    </w:p>
    <w:p w14:paraId="5084C4C1" w14:textId="77777777" w:rsidR="00841369" w:rsidRDefault="00A1733D">
      <w:pPr>
        <w:numPr>
          <w:ilvl w:val="0"/>
          <w:numId w:val="6"/>
        </w:num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proofErr w:type="gramStart"/>
      <w:r>
        <w:rPr>
          <w:rFonts w:ascii="Avenir Next LT Pro" w:eastAsia="Times New Roman" w:hAnsi="Avenir Next LT Pro" w:cs="Times New Roman"/>
          <w:color w:val="203242"/>
        </w:rPr>
        <w:t>pour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 xml:space="preserve"> les autres agents (agents contractuels et pour les agents affiliés au régime général IRCANTEC), les jours excédant 15 jours sont automatiquement indemnisés.</w:t>
      </w:r>
    </w:p>
    <w:p w14:paraId="107CF935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2571189C" w14:textId="77777777" w:rsidR="00841369" w:rsidRDefault="00A173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Avenir Next LT Pro" w:eastAsia="Times New Roman" w:hAnsi="Avenir Next LT Pro" w:cs="Times New Roman"/>
          <w:i/>
          <w:color w:val="B52D51"/>
        </w:rPr>
      </w:pPr>
      <w:r>
        <w:rPr>
          <w:rFonts w:ascii="Wingdings" w:eastAsia="Wingdings" w:hAnsi="Wingdings" w:cs="Wingdings"/>
          <w:i/>
          <w:color w:val="B52D51"/>
        </w:rPr>
        <w:t>%</w:t>
      </w:r>
      <w:r>
        <w:rPr>
          <w:rFonts w:ascii="Avenir Next LT Pro" w:eastAsia="Times New Roman" w:hAnsi="Avenir Next LT Pro" w:cs="Times New Roman"/>
          <w:i/>
          <w:color w:val="B52D51"/>
        </w:rPr>
        <w:t xml:space="preserve"> ATTENTION : Il convient de noter que la délibération prévoyant les règles de fonctionnement du CET ne peut pas privilégier ou exclure une ou plusieurs modalités d’utilisation des jours épargnés.</w:t>
      </w:r>
    </w:p>
    <w:p w14:paraId="7EC9CE8B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1F059B57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L’agent souhaitant utiliser des jours épargnés dans son CET sous forme de congés devra le demander selon les règles applicables aux congés annuels dans la collectivité.</w:t>
      </w:r>
    </w:p>
    <w:p w14:paraId="3525215D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6C7DAE92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</w:rPr>
      </w:pPr>
    </w:p>
    <w:p w14:paraId="2C9F0350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  <w:r>
        <w:rPr>
          <w:rFonts w:ascii="Avenir Next LT Pro" w:eastAsia="Times New Roman" w:hAnsi="Avenir Next LT Pro" w:cs="Times New Roman"/>
        </w:rPr>
        <w:t>(</w:t>
      </w:r>
      <w:r>
        <w:rPr>
          <w:rFonts w:ascii="Avenir Next LT Pro" w:eastAsia="Times New Roman" w:hAnsi="Avenir Next LT Pro" w:cs="Times New Roman"/>
          <w:i/>
          <w:color w:val="4F81BD"/>
        </w:rPr>
        <w:t>Le cas échéant si la collectivité le souhaite</w:t>
      </w:r>
      <w:r>
        <w:rPr>
          <w:rFonts w:ascii="Avenir Next LT Pro" w:eastAsia="Times New Roman" w:hAnsi="Avenir Next LT Pro" w:cs="Times New Roman"/>
        </w:rPr>
        <w:t>) </w:t>
      </w:r>
      <w:r>
        <w:rPr>
          <w:rFonts w:ascii="Avenir Next LT Pro" w:eastAsia="Times New Roman" w:hAnsi="Avenir Next LT Pro" w:cs="Times New Roman"/>
          <w:b/>
          <w:color w:val="203242"/>
        </w:rPr>
        <w:t>LE CONVENTIONNEMENT ENTRE COLLECTIVITÉS ET ÉTABLISSEMENTS</w:t>
      </w:r>
    </w:p>
    <w:p w14:paraId="6B4ED9AB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4B016B82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En cas de mutation et de détachement auprès d'une collectivité territoriale ou d’un établissemen</w:t>
      </w:r>
      <w:r>
        <w:rPr>
          <w:rFonts w:ascii="Avenir Next LT Pro" w:eastAsia="Times New Roman" w:hAnsi="Avenir Next LT Pro" w:cs="Times New Roman"/>
          <w:color w:val="203242"/>
        </w:rPr>
        <w:t xml:space="preserve">t public relevant du Code Général de la Fonction Publique, l’autorité territoriale est autorisée à fixer, par convention signée entre les deux employeurs, les modalités financières de transfert des droits accumulés par un agent dans la limite de ……………………… </w:t>
      </w:r>
      <w:r>
        <w:rPr>
          <w:rFonts w:ascii="Avenir Next LT Pro" w:eastAsia="Times New Roman" w:hAnsi="Avenir Next LT Pro" w:cs="Times New Roman"/>
          <w:i/>
          <w:iCs/>
          <w:color w:val="548DD4"/>
        </w:rPr>
        <w:t>(à fixer).</w:t>
      </w:r>
    </w:p>
    <w:p w14:paraId="108633C5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077CC25E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Le contenu de la convention sera librement déterminé par les deux parties. Avant d'être signée, elle fera l'objet d'une information auprès de l’assemblée délibérante.</w:t>
      </w:r>
    </w:p>
    <w:p w14:paraId="583953A8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2A4B471F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>LA CLÔTURE DU CET</w:t>
      </w:r>
    </w:p>
    <w:p w14:paraId="24F44A1A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4ACB991E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 xml:space="preserve">Le </w:t>
      </w:r>
      <w:proofErr w:type="gramStart"/>
      <w:r>
        <w:rPr>
          <w:rFonts w:ascii="Avenir Next LT Pro" w:eastAsia="Times New Roman" w:hAnsi="Avenir Next LT Pro" w:cs="Times New Roman"/>
          <w:color w:val="203242"/>
        </w:rPr>
        <w:t>CET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 xml:space="preserve"> doit être soldé et clôturé à la date de la radiation des cadres ou des effectifs pour le fonctionnaire ou à la date de la radiation des effectifs pour l’agent contractuel.</w:t>
      </w:r>
    </w:p>
    <w:p w14:paraId="7FBDED49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3444FE1C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lastRenderedPageBreak/>
        <w:t>Lorsque ces dates sont prévisibles, le …………</w:t>
      </w:r>
      <w:proofErr w:type="gramStart"/>
      <w:r>
        <w:rPr>
          <w:rFonts w:ascii="Avenir Next LT Pro" w:eastAsia="Times New Roman" w:hAnsi="Avenir Next LT Pro" w:cs="Times New Roman"/>
          <w:color w:val="203242"/>
        </w:rPr>
        <w:t>…….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>. (</w:t>
      </w:r>
      <w:r>
        <w:rPr>
          <w:rFonts w:ascii="Avenir Next LT Pro" w:eastAsia="Times New Roman" w:hAnsi="Avenir Next LT Pro" w:cs="Times New Roman"/>
          <w:color w:val="4F81BD"/>
        </w:rPr>
        <w:t>Maire ou Président</w:t>
      </w:r>
      <w:r>
        <w:rPr>
          <w:rFonts w:ascii="Avenir Next LT Pro" w:eastAsia="Times New Roman" w:hAnsi="Avenir Next LT Pro" w:cs="Times New Roman"/>
          <w:color w:val="203242"/>
        </w:rPr>
        <w:t>) informera l’agent de la situation de son CET, de la date de clôture de son CET et de son droit à utiliser les congés accumulés à la date de la clôture dans des délais qui lui permettent d’exercer ce droit, (le cas échéant) à l'aide du formulaire annexé à la présente délibération.</w:t>
      </w:r>
    </w:p>
    <w:p w14:paraId="55D543EC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719BA712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7B6564C8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>L’assemblée délibérante après avoir entendu le………</w:t>
      </w:r>
      <w:proofErr w:type="gramStart"/>
      <w:r>
        <w:rPr>
          <w:rFonts w:ascii="Avenir Next LT Pro" w:eastAsia="Times New Roman" w:hAnsi="Avenir Next LT Pro" w:cs="Times New Roman"/>
          <w:color w:val="203242"/>
        </w:rPr>
        <w:t>…….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 xml:space="preserve">. </w:t>
      </w:r>
      <w:r>
        <w:rPr>
          <w:rFonts w:ascii="Avenir Next LT Pro" w:eastAsia="Times New Roman" w:hAnsi="Avenir Next LT Pro" w:cs="Times New Roman"/>
        </w:rPr>
        <w:t>(</w:t>
      </w:r>
      <w:proofErr w:type="gramStart"/>
      <w:r>
        <w:rPr>
          <w:rFonts w:ascii="Avenir Next LT Pro" w:eastAsia="Times New Roman" w:hAnsi="Avenir Next LT Pro" w:cs="Times New Roman"/>
          <w:color w:val="4F81BD"/>
        </w:rPr>
        <w:t>autorité</w:t>
      </w:r>
      <w:proofErr w:type="gramEnd"/>
      <w:r>
        <w:rPr>
          <w:rFonts w:ascii="Avenir Next LT Pro" w:eastAsia="Times New Roman" w:hAnsi="Avenir Next LT Pro" w:cs="Times New Roman"/>
          <w:color w:val="4F81BD"/>
        </w:rPr>
        <w:t xml:space="preserve"> territoriale</w:t>
      </w:r>
      <w:r>
        <w:rPr>
          <w:rFonts w:ascii="Avenir Next LT Pro" w:eastAsia="Times New Roman" w:hAnsi="Avenir Next LT Pro" w:cs="Times New Roman"/>
          <w:color w:val="203242"/>
        </w:rPr>
        <w:t>) dans ses explications complémentaires, après avis du Comité Social Territorial émis dans sa séance du…</w:t>
      </w:r>
      <w:proofErr w:type="gramStart"/>
      <w:r>
        <w:rPr>
          <w:rFonts w:ascii="Avenir Next LT Pro" w:eastAsia="Times New Roman" w:hAnsi="Avenir Next LT Pro" w:cs="Times New Roman"/>
          <w:color w:val="203242"/>
        </w:rPr>
        <w:t>…….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>.et après en avoir délibéré,</w:t>
      </w:r>
    </w:p>
    <w:p w14:paraId="7BD8479C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33402EB9" w14:textId="77777777" w:rsidR="00841369" w:rsidRDefault="00A1733D">
      <w:pPr>
        <w:spacing w:after="0" w:line="240" w:lineRule="auto"/>
        <w:ind w:left="2124" w:hanging="2124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>ADOPTE</w:t>
      </w: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  <w:t>- les propositions du ………</w:t>
      </w:r>
      <w:proofErr w:type="gramStart"/>
      <w:r>
        <w:rPr>
          <w:rFonts w:ascii="Avenir Next LT Pro" w:eastAsia="Times New Roman" w:hAnsi="Avenir Next LT Pro" w:cs="Times New Roman"/>
          <w:color w:val="203242"/>
        </w:rPr>
        <w:t>…….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 xml:space="preserve">. </w:t>
      </w:r>
      <w:r>
        <w:rPr>
          <w:rFonts w:ascii="Avenir Next LT Pro" w:eastAsia="Times New Roman" w:hAnsi="Avenir Next LT Pro" w:cs="Times New Roman"/>
        </w:rPr>
        <w:t>(</w:t>
      </w:r>
      <w:r>
        <w:rPr>
          <w:rFonts w:ascii="Avenir Next LT Pro" w:eastAsia="Times New Roman" w:hAnsi="Avenir Next LT Pro" w:cs="Times New Roman"/>
          <w:color w:val="4F81BD"/>
        </w:rPr>
        <w:t>Maire ou Président</w:t>
      </w:r>
      <w:r>
        <w:rPr>
          <w:rFonts w:ascii="Avenir Next LT Pro" w:eastAsia="Times New Roman" w:hAnsi="Avenir Next LT Pro" w:cs="Times New Roman"/>
          <w:color w:val="203242"/>
        </w:rPr>
        <w:t>) relatives à l'ouverture, au fonctionnement, à la gestion, à la fermeture du compte épargne-temps (CET), ainsi que les modalités de son utilisation par l'agent mentionnés dans la présente délibération,</w:t>
      </w:r>
    </w:p>
    <w:p w14:paraId="404D3D35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ab/>
      </w:r>
    </w:p>
    <w:p w14:paraId="6E31F776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  <w:t>- les différents formulaires annexés,</w:t>
      </w:r>
    </w:p>
    <w:p w14:paraId="0DEF6893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348B88E0" w14:textId="77777777" w:rsidR="00841369" w:rsidRDefault="00A1733D">
      <w:pPr>
        <w:spacing w:after="0" w:line="240" w:lineRule="auto"/>
        <w:ind w:left="2124" w:hanging="2124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>AUTORISE</w:t>
      </w: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  <w:t>sous réserve d'une information préalable de l’assemblée délibérante, le …………</w:t>
      </w:r>
      <w:proofErr w:type="gramStart"/>
      <w:r>
        <w:rPr>
          <w:rFonts w:ascii="Avenir Next LT Pro" w:eastAsia="Times New Roman" w:hAnsi="Avenir Next LT Pro" w:cs="Times New Roman"/>
          <w:color w:val="203242"/>
        </w:rPr>
        <w:t>…….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 xml:space="preserve">. </w:t>
      </w:r>
      <w:r>
        <w:rPr>
          <w:rFonts w:ascii="Avenir Next LT Pro" w:eastAsia="Times New Roman" w:hAnsi="Avenir Next LT Pro" w:cs="Times New Roman"/>
        </w:rPr>
        <w:t>(</w:t>
      </w:r>
      <w:r>
        <w:rPr>
          <w:rFonts w:ascii="Avenir Next LT Pro" w:eastAsia="Times New Roman" w:hAnsi="Avenir Next LT Pro" w:cs="Times New Roman"/>
          <w:color w:val="4F81BD"/>
        </w:rPr>
        <w:t>Maire ou Président</w:t>
      </w:r>
      <w:r>
        <w:rPr>
          <w:rFonts w:ascii="Avenir Next LT Pro" w:eastAsia="Times New Roman" w:hAnsi="Avenir Next LT Pro" w:cs="Times New Roman"/>
        </w:rPr>
        <w:t>)</w:t>
      </w:r>
      <w:r>
        <w:rPr>
          <w:rFonts w:ascii="Avenir Next LT Pro" w:eastAsia="Times New Roman" w:hAnsi="Avenir Next LT Pro" w:cs="Times New Roman"/>
          <w:color w:val="203242"/>
        </w:rPr>
        <w:t xml:space="preserve"> à signer toutes conventions de transfert du </w:t>
      </w:r>
      <w:proofErr w:type="gramStart"/>
      <w:r>
        <w:rPr>
          <w:rFonts w:ascii="Avenir Next LT Pro" w:eastAsia="Times New Roman" w:hAnsi="Avenir Next LT Pro" w:cs="Times New Roman"/>
          <w:color w:val="203242"/>
        </w:rPr>
        <w:t>CET</w:t>
      </w:r>
      <w:proofErr w:type="gramEnd"/>
      <w:r>
        <w:rPr>
          <w:rFonts w:ascii="Avenir Next LT Pro" w:eastAsia="Times New Roman" w:hAnsi="Avenir Next LT Pro" w:cs="Times New Roman"/>
          <w:color w:val="203242"/>
        </w:rPr>
        <w:t xml:space="preserve"> figurant en annexe, sous réserve des modifications apportées par les parties adhérentes à cette convention.</w:t>
      </w:r>
    </w:p>
    <w:p w14:paraId="680EB910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b/>
          <w:color w:val="203242"/>
        </w:rPr>
      </w:pPr>
    </w:p>
    <w:p w14:paraId="17DE83CA" w14:textId="77777777" w:rsidR="00841369" w:rsidRDefault="00A1733D">
      <w:pPr>
        <w:spacing w:after="0" w:line="240" w:lineRule="auto"/>
        <w:ind w:left="2124" w:hanging="2124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b/>
          <w:color w:val="203242"/>
        </w:rPr>
        <w:t>PRÉCISE</w:t>
      </w: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  <w:t xml:space="preserve">- que les dispositions de la présente délibération prendront effet au ……….                 </w:t>
      </w:r>
      <w:r>
        <w:rPr>
          <w:rFonts w:ascii="Avenir Next LT Pro" w:eastAsia="Times New Roman" w:hAnsi="Avenir Next LT Pro" w:cs="Times New Roman"/>
        </w:rPr>
        <w:t>(</w:t>
      </w:r>
      <w:proofErr w:type="gramStart"/>
      <w:r>
        <w:rPr>
          <w:rFonts w:ascii="Avenir Next LT Pro" w:eastAsia="Times New Roman" w:hAnsi="Avenir Next LT Pro" w:cs="Times New Roman"/>
          <w:color w:val="4F81BD"/>
        </w:rPr>
        <w:t>au</w:t>
      </w:r>
      <w:proofErr w:type="gramEnd"/>
      <w:r>
        <w:rPr>
          <w:rFonts w:ascii="Avenir Next LT Pro" w:eastAsia="Times New Roman" w:hAnsi="Avenir Next LT Pro" w:cs="Times New Roman"/>
          <w:color w:val="4F81BD"/>
        </w:rPr>
        <w:t xml:space="preserve"> plus tôt la date de transmission au contrôle de légalité</w:t>
      </w:r>
      <w:r>
        <w:rPr>
          <w:rFonts w:ascii="Avenir Next LT Pro" w:eastAsia="Times New Roman" w:hAnsi="Avenir Next LT Pro" w:cs="Times New Roman"/>
          <w:color w:val="203242"/>
        </w:rPr>
        <w:t>),</w:t>
      </w:r>
    </w:p>
    <w:p w14:paraId="4E72A237" w14:textId="77777777" w:rsidR="00841369" w:rsidRDefault="00841369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</w:p>
    <w:p w14:paraId="1EC5FCE9" w14:textId="77777777" w:rsidR="00841369" w:rsidRDefault="00A1733D">
      <w:pPr>
        <w:spacing w:after="0" w:line="240" w:lineRule="auto"/>
        <w:jc w:val="both"/>
        <w:rPr>
          <w:rFonts w:ascii="Avenir Next LT Pro" w:eastAsia="Times New Roman" w:hAnsi="Avenir Next LT Pro" w:cs="Times New Roman"/>
          <w:color w:val="203242"/>
        </w:rPr>
      </w:pP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</w:r>
      <w:r>
        <w:rPr>
          <w:rFonts w:ascii="Avenir Next LT Pro" w:eastAsia="Times New Roman" w:hAnsi="Avenir Next LT Pro" w:cs="Times New Roman"/>
          <w:color w:val="203242"/>
        </w:rPr>
        <w:tab/>
        <w:t>- que les crédits suffisants sont prévus au budget de l’exercice.</w:t>
      </w:r>
    </w:p>
    <w:p w14:paraId="2C8443D2" w14:textId="77777777" w:rsidR="00841369" w:rsidRDefault="00841369">
      <w:pPr>
        <w:spacing w:after="0" w:line="240" w:lineRule="auto"/>
        <w:jc w:val="center"/>
        <w:rPr>
          <w:rFonts w:ascii="Arial" w:hAnsi="Arial" w:cs="Arial"/>
        </w:rPr>
      </w:pPr>
    </w:p>
    <w:sectPr w:rsidR="00841369">
      <w:pgSz w:w="11906" w:h="16838"/>
      <w:pgMar w:top="851" w:right="1134" w:bottom="1134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CCA40" w14:textId="77777777" w:rsidR="00841369" w:rsidRDefault="00A1733D">
      <w:pPr>
        <w:spacing w:after="0" w:line="240" w:lineRule="auto"/>
      </w:pPr>
      <w:r>
        <w:separator/>
      </w:r>
    </w:p>
  </w:endnote>
  <w:endnote w:type="continuationSeparator" w:id="0">
    <w:p w14:paraId="7AF24E93" w14:textId="77777777" w:rsidR="00841369" w:rsidRDefault="00A1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llix Medium">
    <w:altName w:val="Calibri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B62B7" w14:textId="77777777" w:rsidR="00841369" w:rsidRDefault="00A1733D">
      <w:pPr>
        <w:spacing w:after="0" w:line="240" w:lineRule="auto"/>
      </w:pPr>
      <w:r>
        <w:separator/>
      </w:r>
    </w:p>
  </w:footnote>
  <w:footnote w:type="continuationSeparator" w:id="0">
    <w:p w14:paraId="420DBA92" w14:textId="77777777" w:rsidR="00841369" w:rsidRDefault="00A17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4747"/>
    <w:multiLevelType w:val="multilevel"/>
    <w:tmpl w:val="762AAAE6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CD464C"/>
    <w:multiLevelType w:val="multilevel"/>
    <w:tmpl w:val="4BB00C7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065E0"/>
    <w:multiLevelType w:val="multilevel"/>
    <w:tmpl w:val="1ECCFF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C00CD"/>
    <w:multiLevelType w:val="multilevel"/>
    <w:tmpl w:val="BA6A267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E1F6A"/>
    <w:multiLevelType w:val="multilevel"/>
    <w:tmpl w:val="CB2614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841A2"/>
    <w:multiLevelType w:val="multilevel"/>
    <w:tmpl w:val="66FAEC54"/>
    <w:lvl w:ilvl="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F651402"/>
    <w:multiLevelType w:val="multilevel"/>
    <w:tmpl w:val="7222E2D8"/>
    <w:lvl w:ilvl="0">
      <w:start w:val="2"/>
      <w:numFmt w:val="bullet"/>
      <w:lvlText w:val="-"/>
      <w:lvlJc w:val="left"/>
      <w:pPr>
        <w:ind w:left="1429" w:hanging="360"/>
      </w:pPr>
      <w:rPr>
        <w:rFonts w:ascii="Avenir Next LT Pro" w:eastAsia="Times New Roman" w:hAnsi="Avenir Next LT Pro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136603702">
    <w:abstractNumId w:val="0"/>
  </w:num>
  <w:num w:numId="2" w16cid:durableId="773016237">
    <w:abstractNumId w:val="5"/>
  </w:num>
  <w:num w:numId="3" w16cid:durableId="1684237661">
    <w:abstractNumId w:val="2"/>
  </w:num>
  <w:num w:numId="4" w16cid:durableId="2083258814">
    <w:abstractNumId w:val="4"/>
  </w:num>
  <w:num w:numId="5" w16cid:durableId="400715256">
    <w:abstractNumId w:val="1"/>
  </w:num>
  <w:num w:numId="6" w16cid:durableId="420567821">
    <w:abstractNumId w:val="3"/>
  </w:num>
  <w:num w:numId="7" w16cid:durableId="1320303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69"/>
    <w:rsid w:val="007540A3"/>
    <w:rsid w:val="00841369"/>
    <w:rsid w:val="00A1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E9C"/>
  <w15:docId w15:val="{D6C5BB76-A3AF-4634-B2FC-E6F7939F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FootnoteTextChar">
    <w:name w:val="Footnote Text Char"/>
    <w:basedOn w:val="Policepardfaut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Policepardfaut"/>
    <w:uiPriority w:val="99"/>
    <w:semiHidden/>
    <w:rPr>
      <w:sz w:val="20"/>
      <w:szCs w:val="20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2F5496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eilleJuridiqueDoc" ma:contentTypeID="0x010100B3669A6B9A7E4EE5877FE38FDB8B9919020054C245262BF9934AA46EA6A74196A5E9" ma:contentTypeVersion="24" ma:contentTypeDescription="Bibliothèque des espaces dédiés" ma:contentTypeScope="" ma:versionID="1aed85a97641dae80c2253a7356f305b">
  <xsd:schema xmlns:xsd="http://www.w3.org/2001/XMLSchema" xmlns:xs="http://www.w3.org/2001/XMLSchema" xmlns:p="http://schemas.microsoft.com/office/2006/metadata/properties" xmlns:ns2="6fb0c34a-1d21-4591-bf27-af47a8e571e8" xmlns:ns3="d13cbe4f-1448-46a5-af3f-2daad8b9242e" xmlns:ns4="002f9175-6b98-453e-8381-436e165ab70f" targetNamespace="http://schemas.microsoft.com/office/2006/metadata/properties" ma:root="true" ma:fieldsID="949cafe06bb0e04566e8bcdffe818972" ns2:_="" ns3:_="" ns4:_="">
    <xsd:import namespace="6fb0c34a-1d21-4591-bf27-af47a8e571e8"/>
    <xsd:import namespace="d13cbe4f-1448-46a5-af3f-2daad8b9242e"/>
    <xsd:import namespace="002f9175-6b98-453e-8381-436e165ab70f"/>
    <xsd:element name="properties">
      <xsd:complexType>
        <xsd:sequence>
          <xsd:element name="documentManagement">
            <xsd:complexType>
              <xsd:all>
                <xsd:element ref="ns2:yes_Detail" minOccurs="0"/>
                <xsd:element ref="ns2:Référence_x005f_x0020_texte_x005f_x0020_officiel" minOccurs="0"/>
                <xsd:element ref="ns2:Référence_x005f_x0020_bibliographique" minOccurs="0"/>
                <xsd:element ref="ns3:TaxCatchAll" minOccurs="0"/>
                <xsd:element ref="ns3:TaxCatchAllLabel" minOccurs="0"/>
                <xsd:element ref="ns4:h5b5bcbb19734e04aa9301ca5621b6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c34a-1d21-4591-bf27-af47a8e571e8" elementFormDefault="qualified">
    <xsd:import namespace="http://schemas.microsoft.com/office/2006/documentManagement/types"/>
    <xsd:import namespace="http://schemas.microsoft.com/office/infopath/2007/PartnerControls"/>
    <xsd:element name="yes_Detail" ma:index="2" nillable="true" ma:displayName="Détail" ma:internalName="yes_Detail" ma:readOnly="false">
      <xsd:simpleType>
        <xsd:restriction base="dms:Unknown"/>
      </xsd:simpleType>
    </xsd:element>
    <xsd:element name="Référence_x005f_x0020_texte_x005f_x0020_officiel" ma:index="3" nillable="true" ma:displayName="Référence texte officiel" ma:internalName="R_x00e9_f_x00e9_rence_x0020_texte_x0020_officiel" ma:readOnly="false">
      <xsd:simpleType>
        <xsd:restriction base="dms:Text">
          <xsd:maxLength value="255"/>
        </xsd:restriction>
      </xsd:simpleType>
    </xsd:element>
    <xsd:element name="Référence_x005f_x0020_bibliographique" ma:index="4" nillable="true" ma:displayName="Référence bibliographique" ma:internalName="R_x00e9_f_x00e9_rence_x0020_bibliographiqu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6c2e44c6-a576-463b-8dab-3091369b77b9}" ma:internalName="TaxCatchAll" ma:showField="CatchAllData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c2e44c6-a576-463b-8dab-3091369b77b9}" ma:internalName="TaxCatchAllLabel" ma:readOnly="true" ma:showField="CatchAllDataLabel" ma:web="6fb0c34a-1d21-4591-bf27-af47a8e5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f9175-6b98-453e-8381-436e165ab70f" elementFormDefault="qualified">
    <xsd:import namespace="http://schemas.microsoft.com/office/2006/documentManagement/types"/>
    <xsd:import namespace="http://schemas.microsoft.com/office/infopath/2007/PartnerControls"/>
    <xsd:element name="h5b5bcbb19734e04aa9301ca5621b66b" ma:index="13" nillable="true" ma:displayName="Emetteur_0" ma:hidden="true" ma:internalName="h5b5bcbb19734e04aa9301ca5621b66b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This value indicates the number of saves or revisions. The application is responsible for updating this value after each revision.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 LastSyncTimeStamp="2024-10-03T06:57:46.05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1DF675-C860-4B11-A834-174253CCC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c34a-1d21-4591-bf27-af47a8e571e8"/>
    <ds:schemaRef ds:uri="d13cbe4f-1448-46a5-af3f-2daad8b9242e"/>
    <ds:schemaRef ds:uri="002f9175-6b98-453e-8381-436e165ab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2001/XMLSchema-instance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720EC-4C06-483E-9754-7F7348CF471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795B3A6-7E59-4608-BA0B-5935C75850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7451</Characters>
  <Application>Microsoft Office Word</Application>
  <DocSecurity>0</DocSecurity>
  <Lines>62</Lines>
  <Paragraphs>17</Paragraphs>
  <ScaleCrop>false</ScaleCrop>
  <Company>CDG33</Company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fixant les modalités de fonctionnement du compte épargne-temps</dc:title>
  <dc:subject/>
  <dc:creator>SENANT Claire</dc:creator>
  <cp:keywords/>
  <dc:description/>
  <cp:lastModifiedBy>Juriste CDG86</cp:lastModifiedBy>
  <cp:revision>1</cp:revision>
  <dcterms:created xsi:type="dcterms:W3CDTF">2025-12-02T09:09:00Z</dcterms:created>
  <dcterms:modified xsi:type="dcterms:W3CDTF">2025-12-18T15:29:00Z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re">
    <vt:lpwstr>Modèle de délibération fixant les modalités de fonctionnement du compte épargne-temps</vt:lpwstr>
  </property>
  <property fmtid="{D5CDD505-2E9C-101B-9397-08002B2CF9AE}" pid="3" name="Thématique(s)">
    <vt:lpwstr/>
  </property>
  <property fmtid="{D5CDD505-2E9C-101B-9397-08002B2CF9AE}" pid="4" name="Archive">
    <vt:bool>false</vt:bool>
  </property>
  <property fmtid="{D5CDD505-2E9C-101B-9397-08002B2CF9AE}" pid="5" name="yes_Processus">
    <vt:lpwstr/>
  </property>
  <property fmtid="{D5CDD505-2E9C-101B-9397-08002B2CF9AE}" pid="6" name="yes_Emetteur">
    <vt:lpwstr>2498;#Expertise RH mutualisée|edf9fb82-80b9-43e4-903d-8111a2ee1f16</vt:lpwstr>
  </property>
  <property fmtid="{D5CDD505-2E9C-101B-9397-08002B2CF9AE}" pid="7" name="publier">
    <vt:bool>true</vt:bool>
  </property>
  <property fmtid="{D5CDD505-2E9C-101B-9397-08002B2CF9AE}" pid="8" name="xd_ProgID">
    <vt:lpwstr/>
  </property>
  <property fmtid="{D5CDD505-2E9C-101B-9397-08002B2CF9AE}" pid="9" name="Nature_document">
    <vt:lpwstr>2568;#Modèle|c8002522-eb73-478f-a8d4-f44b1bb0cd88</vt:lpwstr>
  </property>
  <property fmtid="{D5CDD505-2E9C-101B-9397-08002B2CF9AE}" pid="10" name="ContentTypeId">
    <vt:lpwstr>0x010100B3669A6B9A7E4EE5877FE38FDB8B9919020054C245262BF9934AA46EA6A74196A5E9</vt:lpwstr>
  </property>
  <property fmtid="{D5CDD505-2E9C-101B-9397-08002B2CF9AE}" pid="11" name="m758ac0241a94e4d98028cb60ff1e2dc">
    <vt:lpwstr>Privé|9d61055b-725b-4297-9a77-8c5caa518546</vt:lpwstr>
  </property>
  <property fmtid="{D5CDD505-2E9C-101B-9397-08002B2CF9AE}" pid="12" name="_SourceUrl">
    <vt:lpwstr/>
  </property>
  <property fmtid="{D5CDD505-2E9C-101B-9397-08002B2CF9AE}" pid="13" name="Date de mise à jour">
    <vt:filetime>2025-12-01T23:00:00Z</vt:filetime>
  </property>
  <property fmtid="{D5CDD505-2E9C-101B-9397-08002B2CF9AE}" pid="14" name="_SharedFileIndex">
    <vt:lpwstr/>
  </property>
  <property fmtid="{D5CDD505-2E9C-101B-9397-08002B2CF9AE}" pid="15" name="e807b094b2fb4c3f90ccfc2c7fbb4c32">
    <vt:lpwstr>Expertise mutualisée|ecb15c63-629d-4878-8364-d9bab165b640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Nature de document veille">
    <vt:lpwstr>3993;#Modèle|b249a672-dea0-4f85-b9c3-3daf3f3ee20f</vt:lpwstr>
  </property>
  <property fmtid="{D5CDD505-2E9C-101B-9397-08002B2CF9AE}" pid="19" name="Date du document">
    <vt:filetime>2024-10-10T22:00:00Z</vt:filetime>
  </property>
  <property fmtid="{D5CDD505-2E9C-101B-9397-08002B2CF9AE}" pid="20" name="n4419113d3e54a13ae9672edf25968e5">
    <vt:lpwstr>Congés et absence|87ae3966-bd24-4ec8-95c6-24d782bbf14b</vt:lpwstr>
  </property>
  <property fmtid="{D5CDD505-2E9C-101B-9397-08002B2CF9AE}" pid="21" name="Info_maj">
    <vt:lpwstr/>
  </property>
  <property fmtid="{D5CDD505-2E9C-101B-9397-08002B2CF9AE}" pid="22" name="Sous_x002d_th_x00e9_matique_x0028_s_x0029_">
    <vt:lpwstr>3142;#Congés et absence|dc051ce5-dd87-4146-94f9-61d3d42da266</vt:lpwstr>
  </property>
  <property fmtid="{D5CDD505-2E9C-101B-9397-08002B2CF9AE}" pid="23" name="Nature_x0020_de_x0020_document_x0020_veille">
    <vt:lpwstr>3993;#Modèle|b249a672-dea0-4f85-b9c3-3daf3f3ee20f</vt:lpwstr>
  </property>
  <property fmtid="{D5CDD505-2E9C-101B-9397-08002B2CF9AE}" pid="24" name="Emetteur">
    <vt:lpwstr>2559;#Expertise RH mutualisée|ecb15c63-629d-4878-8364-d9bab165b640</vt:lpwstr>
  </property>
  <property fmtid="{D5CDD505-2E9C-101B-9397-08002B2CF9AE}" pid="25" name="g9c48524d63d46d1bbce8822d5653303">
    <vt:lpwstr/>
  </property>
  <property fmtid="{D5CDD505-2E9C-101B-9397-08002B2CF9AE}" pid="26" name="_ExtendedDescription">
    <vt:lpwstr/>
  </property>
  <property fmtid="{D5CDD505-2E9C-101B-9397-08002B2CF9AE}" pid="27" name="Nature de document veille_0">
    <vt:lpwstr>Modèle|b249a672-dea0-4f85-b9c3-3daf3f3ee20f</vt:lpwstr>
  </property>
  <property fmtid="{D5CDD505-2E9C-101B-9397-08002B2CF9AE}" pid="28" name="Thematique">
    <vt:lpwstr/>
  </property>
  <property fmtid="{D5CDD505-2E9C-101B-9397-08002B2CF9AE}" pid="29" name="Sous-thématique(s)_0">
    <vt:lpwstr>Congés et absence|dc051ce5-dd87-4146-94f9-61d3d42da266</vt:lpwstr>
  </property>
  <property fmtid="{D5CDD505-2E9C-101B-9397-08002B2CF9AE}" pid="30" name="Auteur(s)">
    <vt:lpwstr/>
  </property>
  <property fmtid="{D5CDD505-2E9C-101B-9397-08002B2CF9AE}" pid="31" name="Resume">
    <vt:lpwstr>​Modèle de délibération fixant les modalités de fonctionnement du compte épargne-temps.
MAJ du 02/12/2025 : prise en compte du décret n°2025-1135 du 26/12/2025 ​ouvrant la possibilité pour l'organe délibérant, après avis du CST, de recourir au plafonnement annuel du nombre de jours pouvant donner lieu à une indemnisation des jours  épargnés dans un CET.
</vt:lpwstr>
  </property>
  <property fmtid="{D5CDD505-2E9C-101B-9397-08002B2CF9AE}" pid="32" name="od8d3bb709094f93a5b64ed17b7e93aa">
    <vt:lpwstr>Expertise RH mutualisée|edf9fb82-80b9-43e4-903d-8111a2ee1f16</vt:lpwstr>
  </property>
  <property fmtid="{D5CDD505-2E9C-101B-9397-08002B2CF9AE}" pid="33" name="hfd68a586720489190486f7b93326e47">
    <vt:lpwstr>Congés et absence|dc051ce5-dd87-4146-94f9-61d3d42da266</vt:lpwstr>
  </property>
  <property fmtid="{D5CDD505-2E9C-101B-9397-08002B2CF9AE}" pid="34" name="a489d3471d0949f6814cc8433ddaf927">
    <vt:lpwstr>Modèle|c8002522-eb73-478f-a8d4-f44b1bb0cd88</vt:lpwstr>
  </property>
  <property fmtid="{D5CDD505-2E9C-101B-9397-08002B2CF9AE}" pid="35" name="xd_Signature">
    <vt:bool>false</vt:bool>
  </property>
  <property fmtid="{D5CDD505-2E9C-101B-9397-08002B2CF9AE}" pid="36" name="Sous_thematique">
    <vt:lpwstr>2591;#Congés et absence|87ae3966-bd24-4ec8-95c6-24d782bbf14b</vt:lpwstr>
  </property>
  <property fmtid="{D5CDD505-2E9C-101B-9397-08002B2CF9AE}" pid="37" name="yes_NatureDocument">
    <vt:lpwstr/>
  </property>
  <property fmtid="{D5CDD505-2E9C-101B-9397-08002B2CF9AE}" pid="38" name="yes_Archive">
    <vt:bool>false</vt:bool>
  </property>
  <property fmtid="{D5CDD505-2E9C-101B-9397-08002B2CF9AE}" pid="39" name="DMS_Tag">
    <vt:lpwstr/>
  </property>
  <property fmtid="{D5CDD505-2E9C-101B-9397-08002B2CF9AE}" pid="40" name="yes_Origine">
    <vt:lpwstr/>
  </property>
  <property fmtid="{D5CDD505-2E9C-101B-9397-08002B2CF9AE}" pid="41" name="Datedudocument">
    <vt:filetime>2024-10-10T22:00:00Z</vt:filetime>
  </property>
  <property fmtid="{D5CDD505-2E9C-101B-9397-08002B2CF9AE}" pid="42" name="Th_x00e9_matique_x0028_s_x0029_">
    <vt:lpwstr/>
  </property>
  <property fmtid="{D5CDD505-2E9C-101B-9397-08002B2CF9AE}" pid="43" name="d9a6de5fcc97430fa3859e3c48811208">
    <vt:lpwstr>Modèle|b249a672-dea0-4f85-b9c3-3daf3f3ee20f</vt:lpwstr>
  </property>
  <property fmtid="{D5CDD505-2E9C-101B-9397-08002B2CF9AE}" pid="44" name="Source Liste">
    <vt:lpwstr/>
  </property>
  <property fmtid="{D5CDD505-2E9C-101B-9397-08002B2CF9AE}" pid="45" name="DMS_TypeOfPublication">
    <vt:lpwstr>9;#Privé|9d61055b-725b-4297-9a77-8c5caa518546</vt:lpwstr>
  </property>
  <property fmtid="{D5CDD505-2E9C-101B-9397-08002B2CF9AE}" pid="46" name="yes_Diffusion">
    <vt:lpwstr/>
  </property>
  <property fmtid="{D5CDD505-2E9C-101B-9397-08002B2CF9AE}" pid="47" name="yes_Resume">
    <vt:lpwstr>&lt;p style="text-align&amp;#58;justify;"&gt;​Modèle de délibération
fixant les modalités de fonctionnement du compte épargne-temps.&lt;br&gt;&lt;/p&gt;</vt:lpwstr>
  </property>
  <property fmtid="{D5CDD505-2E9C-101B-9397-08002B2CF9AE}" pid="48" name="Source_x0020_Liste">
    <vt:lpwstr/>
  </property>
  <property fmtid="{D5CDD505-2E9C-101B-9397-08002B2CF9AE}" pid="49" name="TriggerFlowInfo">
    <vt:lpwstr/>
  </property>
  <property fmtid="{D5CDD505-2E9C-101B-9397-08002B2CF9AE}" pid="50" name="Auteur_x0028_s_x0029_">
    <vt:lpwstr/>
  </property>
  <property fmtid="{D5CDD505-2E9C-101B-9397-08002B2CF9AE}" pid="51" name="Emetteur_0">
    <vt:lpwstr>Expertise RH mutualisée|edf9fb82-80b9-43e4-903d-8111a2ee1f16</vt:lpwstr>
  </property>
  <property fmtid="{D5CDD505-2E9C-101B-9397-08002B2CF9AE}" pid="52" name="DMS_WebsiteTheme">
    <vt:lpwstr/>
  </property>
  <property fmtid="{D5CDD505-2E9C-101B-9397-08002B2CF9AE}" pid="53" name="Verif">
    <vt:bool>false</vt:bool>
  </property>
  <property fmtid="{D5CDD505-2E9C-101B-9397-08002B2CF9AE}" pid="54" name="Order">
    <vt:r8>53100</vt:r8>
  </property>
  <property fmtid="{D5CDD505-2E9C-101B-9397-08002B2CF9AE}" pid="55" name="Sous-thématique(s)">
    <vt:lpwstr>3142;#Congés et absence|dc051ce5-dd87-4146-94f9-61d3d42da266</vt:lpwstr>
  </property>
</Properties>
</file>